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
        <w:tblpPr w:leftFromText="180" w:rightFromText="180" w:vertAnchor="text" w:horzAnchor="margin" w:tblpXSpec="center" w:tblpY="-375"/>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71"/>
        <w:gridCol w:w="123"/>
        <w:gridCol w:w="1662"/>
        <w:gridCol w:w="1456"/>
        <w:gridCol w:w="1609"/>
        <w:gridCol w:w="1396"/>
      </w:tblGrid>
      <w:tr w:rsidR="000A4E8B" w14:paraId="7C263F87"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32A196E3" w14:textId="77777777" w:rsidR="000A4E8B" w:rsidRDefault="000A4E8B" w:rsidP="000A4E8B">
            <w:pPr>
              <w:ind w:left="0" w:hanging="2"/>
              <w:textDirection w:val="lrTb"/>
              <w:rPr>
                <w:color w:val="000000"/>
              </w:rPr>
            </w:pPr>
            <w:r>
              <w:rPr>
                <w:b/>
                <w:color w:val="000000"/>
              </w:rPr>
              <w:t xml:space="preserve">Study level: </w:t>
            </w:r>
            <w:r w:rsidRPr="00B16D8B">
              <w:rPr>
                <w:bCs/>
                <w:color w:val="000000"/>
              </w:rPr>
              <w:t>Peace, Security and Development</w:t>
            </w:r>
          </w:p>
        </w:tc>
      </w:tr>
      <w:tr w:rsidR="000A4E8B" w14:paraId="1CABC641"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62601FAB" w14:textId="7D9CE299" w:rsidR="000A4E8B" w:rsidRDefault="000A4E8B" w:rsidP="000A4E8B">
            <w:pPr>
              <w:ind w:left="0" w:hanging="2"/>
              <w:textDirection w:val="lrTb"/>
            </w:pPr>
            <w:r>
              <w:rPr>
                <w:b/>
              </w:rPr>
              <w:t xml:space="preserve">Course title: </w:t>
            </w:r>
            <w:r>
              <w:t xml:space="preserve">Security </w:t>
            </w:r>
            <w:r w:rsidR="007F3C96">
              <w:t>S</w:t>
            </w:r>
            <w:r>
              <w:t xml:space="preserve">ector </w:t>
            </w:r>
            <w:r w:rsidR="007F3C96">
              <w:t>G</w:t>
            </w:r>
            <w:r>
              <w:t>overnance</w:t>
            </w:r>
          </w:p>
        </w:tc>
      </w:tr>
      <w:tr w:rsidR="000A4E8B" w14:paraId="56D2D277"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04E16B02" w14:textId="7BC99CB6" w:rsidR="000A4E8B" w:rsidRDefault="000A4E8B" w:rsidP="000A4E8B">
            <w:pPr>
              <w:ind w:left="0" w:hanging="2"/>
              <w:textDirection w:val="lrTb"/>
            </w:pPr>
            <w:r>
              <w:rPr>
                <w:b/>
              </w:rPr>
              <w:t xml:space="preserve">Professor: </w:t>
            </w:r>
            <w:r>
              <w:t>Filip Ejdus, Marko Kovačević</w:t>
            </w:r>
          </w:p>
        </w:tc>
      </w:tr>
      <w:tr w:rsidR="000A4E8B" w14:paraId="0138DF4B"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70E0F58C" w14:textId="77777777" w:rsidR="000A4E8B" w:rsidRDefault="000A4E8B" w:rsidP="000A4E8B">
            <w:pPr>
              <w:ind w:left="0" w:hanging="2"/>
              <w:textDirection w:val="lrTb"/>
            </w:pPr>
            <w:r>
              <w:rPr>
                <w:b/>
              </w:rPr>
              <w:t xml:space="preserve">Compulsory/Elective: </w:t>
            </w:r>
            <w:r>
              <w:t>Elective</w:t>
            </w:r>
            <w:r>
              <w:rPr>
                <w:b/>
              </w:rPr>
              <w:t xml:space="preserve"> </w:t>
            </w:r>
          </w:p>
        </w:tc>
      </w:tr>
      <w:tr w:rsidR="000A4E8B" w14:paraId="53FE4F4B"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7DDAF538" w14:textId="77777777" w:rsidR="000A4E8B" w:rsidRDefault="000A4E8B" w:rsidP="000A4E8B">
            <w:pPr>
              <w:ind w:left="0" w:hanging="2"/>
              <w:textDirection w:val="lrTb"/>
            </w:pPr>
            <w:r>
              <w:rPr>
                <w:b/>
              </w:rPr>
              <w:t xml:space="preserve">Number of ECTS: </w:t>
            </w:r>
            <w:r>
              <w:t>6</w:t>
            </w:r>
          </w:p>
        </w:tc>
      </w:tr>
      <w:tr w:rsidR="000A4E8B" w14:paraId="2B08765B"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5E34CF7A" w14:textId="77777777" w:rsidR="000A4E8B" w:rsidRDefault="000A4E8B" w:rsidP="000A4E8B">
            <w:pPr>
              <w:ind w:left="0" w:hanging="2"/>
              <w:textDirection w:val="lrTb"/>
            </w:pPr>
            <w:r>
              <w:rPr>
                <w:b/>
              </w:rPr>
              <w:t>Condition:</w:t>
            </w:r>
          </w:p>
        </w:tc>
      </w:tr>
      <w:tr w:rsidR="000A4E8B" w14:paraId="265A04B6"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7EB13E46" w14:textId="77777777" w:rsidR="000A4E8B" w:rsidRDefault="000A4E8B" w:rsidP="000A4E8B">
            <w:pPr>
              <w:ind w:left="0" w:hanging="2"/>
              <w:textDirection w:val="lrTb"/>
            </w:pPr>
            <w:r>
              <w:rPr>
                <w:b/>
              </w:rPr>
              <w:t>Aim of the course</w:t>
            </w:r>
          </w:p>
          <w:p w14:paraId="70AEECA0" w14:textId="77777777" w:rsidR="000A4E8B" w:rsidRDefault="000A4E8B" w:rsidP="000A4E8B">
            <w:pPr>
              <w:ind w:left="0" w:hanging="2"/>
              <w:jc w:val="both"/>
              <w:textDirection w:val="lrTb"/>
            </w:pPr>
            <w:r>
              <w:t>The aim of the course is to acquaint students with key theoretical, empirical and political debates on security sector management. Students will be introduced to security analysis as a public policy. Special attention will be paid to democratic governance of the security sector, but also to governance in non-democratic regimes. Students will learn how to differentiate and critically analyze different public policies and governance in the field of security, especially the military, police, intelligence services and the private security sector. Special attention will be paid to gender aspects of security management, the role of the media and civil society, as well as the importance of international security cooperation.</w:t>
            </w:r>
          </w:p>
          <w:p w14:paraId="01B8B73B" w14:textId="77777777" w:rsidR="000A4E8B" w:rsidRDefault="000A4E8B" w:rsidP="000A4E8B">
            <w:pPr>
              <w:ind w:leftChars="0" w:left="0" w:firstLineChars="0" w:firstLine="0"/>
              <w:jc w:val="both"/>
              <w:textDirection w:val="lrTb"/>
            </w:pPr>
          </w:p>
        </w:tc>
      </w:tr>
      <w:tr w:rsidR="000A4E8B" w14:paraId="168B6955"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66738F63" w14:textId="77777777" w:rsidR="000A4E8B" w:rsidRDefault="000A4E8B" w:rsidP="000A4E8B">
            <w:pPr>
              <w:ind w:left="0" w:hanging="2"/>
              <w:textDirection w:val="lrTb"/>
            </w:pPr>
            <w:r>
              <w:rPr>
                <w:b/>
              </w:rPr>
              <w:t>Outcome of the course</w:t>
            </w:r>
          </w:p>
          <w:p w14:paraId="7A50AE90" w14:textId="77777777" w:rsidR="000A4E8B" w:rsidRDefault="000A4E8B" w:rsidP="000A4E8B">
            <w:pPr>
              <w:ind w:left="0" w:hanging="2"/>
              <w:jc w:val="both"/>
              <w:textDirection w:val="lrTb"/>
            </w:pPr>
          </w:p>
          <w:p w14:paraId="0445D635" w14:textId="77777777" w:rsidR="000A4E8B" w:rsidRDefault="000A4E8B" w:rsidP="000A4E8B">
            <w:pPr>
              <w:widowControl/>
              <w:ind w:left="0" w:hanging="2"/>
              <w:jc w:val="both"/>
              <w:textDirection w:val="lrTb"/>
            </w:pPr>
            <w:r>
              <w:t>The course Security Governance is designed so that students understand and can independently monitor and explore the key actors, processes, institutions and challenges of democratic management of the security sector. After completing the course, they will master key academic literature and be introduced to key theoretical and conceptual debates in this field. In addition, they will be able to critically observe and analyze security governance in different contexts based on the literature, as well as to independently write an academic paper in this field. An important outcome of the course is that students improve their skills in writing and presenting practical policy proposals.</w:t>
            </w:r>
          </w:p>
          <w:p w14:paraId="06376787" w14:textId="77777777" w:rsidR="000A4E8B" w:rsidRDefault="000A4E8B" w:rsidP="000A4E8B">
            <w:pPr>
              <w:ind w:leftChars="0" w:left="0" w:firstLineChars="0" w:firstLine="0"/>
              <w:jc w:val="both"/>
              <w:textDirection w:val="lrTb"/>
            </w:pPr>
          </w:p>
        </w:tc>
      </w:tr>
      <w:tr w:rsidR="000A4E8B" w14:paraId="08949234"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7D5499B2" w14:textId="77777777" w:rsidR="000A4E8B" w:rsidRDefault="000A4E8B" w:rsidP="000A4E8B">
            <w:pPr>
              <w:ind w:left="0" w:hanging="2"/>
              <w:textDirection w:val="lrTb"/>
            </w:pPr>
            <w:r>
              <w:rPr>
                <w:b/>
              </w:rPr>
              <w:t>Content of the course</w:t>
            </w:r>
          </w:p>
          <w:p w14:paraId="31994E3B" w14:textId="77777777" w:rsidR="000A4E8B" w:rsidRDefault="000A4E8B" w:rsidP="000A4E8B">
            <w:pPr>
              <w:widowControl/>
              <w:ind w:leftChars="0" w:left="0" w:firstLineChars="0" w:firstLine="0"/>
              <w:textDirection w:val="lrTb"/>
            </w:pPr>
          </w:p>
          <w:p w14:paraId="615AFDFB" w14:textId="77777777" w:rsidR="000A4E8B" w:rsidRDefault="000A4E8B" w:rsidP="000A4E8B">
            <w:pPr>
              <w:ind w:left="0" w:hanging="2"/>
              <w:jc w:val="both"/>
              <w:textDirection w:val="lrTb"/>
            </w:pPr>
            <w:r>
              <w:t xml:space="preserve">1. Security policy analysis; </w:t>
            </w:r>
          </w:p>
          <w:p w14:paraId="7ACE6A22" w14:textId="77777777" w:rsidR="000A4E8B" w:rsidRDefault="000A4E8B" w:rsidP="000A4E8B">
            <w:pPr>
              <w:ind w:left="0" w:hanging="2"/>
              <w:jc w:val="both"/>
              <w:textDirection w:val="lrTb"/>
            </w:pPr>
            <w:r>
              <w:t xml:space="preserve">2. Democratic governance of the security sector; </w:t>
            </w:r>
          </w:p>
          <w:p w14:paraId="5BCAA664" w14:textId="77777777" w:rsidR="000A4E8B" w:rsidRDefault="000A4E8B" w:rsidP="000A4E8B">
            <w:pPr>
              <w:ind w:left="0" w:hanging="2"/>
              <w:jc w:val="both"/>
              <w:textDirection w:val="lrTb"/>
            </w:pPr>
            <w:r>
              <w:t xml:space="preserve">3. Security governance in undemocratic regimes; </w:t>
            </w:r>
          </w:p>
          <w:p w14:paraId="085E36E7" w14:textId="77777777" w:rsidR="000A4E8B" w:rsidRDefault="000A4E8B" w:rsidP="000A4E8B">
            <w:pPr>
              <w:ind w:left="0" w:hanging="2"/>
              <w:jc w:val="both"/>
              <w:textDirection w:val="lrTb"/>
            </w:pPr>
            <w:r>
              <w:t xml:space="preserve">4. Army; </w:t>
            </w:r>
          </w:p>
          <w:p w14:paraId="216CF6F7" w14:textId="77777777" w:rsidR="000A4E8B" w:rsidRDefault="000A4E8B" w:rsidP="000A4E8B">
            <w:pPr>
              <w:ind w:left="0" w:hanging="2"/>
              <w:jc w:val="both"/>
              <w:textDirection w:val="lrTb"/>
            </w:pPr>
            <w:r>
              <w:t xml:space="preserve">5. Police; </w:t>
            </w:r>
          </w:p>
          <w:p w14:paraId="6C4B1A4D" w14:textId="77777777" w:rsidR="000A4E8B" w:rsidRDefault="000A4E8B" w:rsidP="000A4E8B">
            <w:pPr>
              <w:ind w:left="0" w:hanging="2"/>
              <w:jc w:val="both"/>
              <w:textDirection w:val="lrTb"/>
            </w:pPr>
            <w:r>
              <w:t xml:space="preserve">6. Intelligence services; </w:t>
            </w:r>
          </w:p>
          <w:p w14:paraId="183CDB22" w14:textId="77777777" w:rsidR="000A4E8B" w:rsidRDefault="000A4E8B" w:rsidP="000A4E8B">
            <w:pPr>
              <w:ind w:left="0" w:hanging="2"/>
              <w:jc w:val="both"/>
              <w:textDirection w:val="lrTb"/>
            </w:pPr>
            <w:r>
              <w:t xml:space="preserve">7. Privatization of security; </w:t>
            </w:r>
          </w:p>
          <w:p w14:paraId="71AF7533" w14:textId="77777777" w:rsidR="000A4E8B" w:rsidRDefault="000A4E8B" w:rsidP="000A4E8B">
            <w:pPr>
              <w:ind w:left="0" w:hanging="2"/>
              <w:jc w:val="both"/>
              <w:textDirection w:val="lrTb"/>
            </w:pPr>
            <w:r>
              <w:t xml:space="preserve">8. New technologies and security governance; </w:t>
            </w:r>
          </w:p>
          <w:p w14:paraId="73301B29" w14:textId="77777777" w:rsidR="000A4E8B" w:rsidRDefault="000A4E8B" w:rsidP="000A4E8B">
            <w:pPr>
              <w:ind w:left="0" w:hanging="2"/>
              <w:jc w:val="both"/>
              <w:textDirection w:val="lrTb"/>
            </w:pPr>
            <w:r>
              <w:t xml:space="preserve">9. Gender and security sector governance; </w:t>
            </w:r>
          </w:p>
          <w:p w14:paraId="178EFAFE" w14:textId="77777777" w:rsidR="000A4E8B" w:rsidRDefault="000A4E8B" w:rsidP="000A4E8B">
            <w:pPr>
              <w:ind w:left="0" w:hanging="2"/>
              <w:jc w:val="both"/>
              <w:textDirection w:val="lrTb"/>
            </w:pPr>
            <w:r>
              <w:t xml:space="preserve">10. Media and security policy; </w:t>
            </w:r>
          </w:p>
          <w:p w14:paraId="633FA8EE" w14:textId="77777777" w:rsidR="000A4E8B" w:rsidRDefault="000A4E8B" w:rsidP="000A4E8B">
            <w:pPr>
              <w:ind w:left="0" w:hanging="2"/>
              <w:jc w:val="both"/>
              <w:textDirection w:val="lrTb"/>
            </w:pPr>
            <w:r>
              <w:t xml:space="preserve">11. Civil society organizations and security governance; </w:t>
            </w:r>
          </w:p>
          <w:p w14:paraId="1C409751" w14:textId="77777777" w:rsidR="000A4E8B" w:rsidRDefault="000A4E8B" w:rsidP="000A4E8B">
            <w:pPr>
              <w:ind w:left="0" w:hanging="2"/>
              <w:jc w:val="both"/>
              <w:textDirection w:val="lrTb"/>
            </w:pPr>
            <w:r>
              <w:t xml:space="preserve">12. International security cooperation and assistance </w:t>
            </w:r>
          </w:p>
          <w:p w14:paraId="74F9C4A1" w14:textId="77777777" w:rsidR="000A4E8B" w:rsidRDefault="000A4E8B" w:rsidP="000A4E8B">
            <w:pPr>
              <w:ind w:left="0" w:hanging="2"/>
              <w:jc w:val="both"/>
              <w:textDirection w:val="lrTb"/>
            </w:pPr>
            <w:r>
              <w:t xml:space="preserve">13. Reading week </w:t>
            </w:r>
          </w:p>
          <w:p w14:paraId="2CF95C43" w14:textId="77777777" w:rsidR="000A4E8B" w:rsidRDefault="000A4E8B" w:rsidP="000A4E8B">
            <w:pPr>
              <w:ind w:left="0" w:hanging="2"/>
              <w:jc w:val="both"/>
              <w:textDirection w:val="lrTb"/>
            </w:pPr>
            <w:r>
              <w:t xml:space="preserve">14. Reading week. </w:t>
            </w:r>
          </w:p>
          <w:p w14:paraId="75552EE8" w14:textId="77777777" w:rsidR="000A4E8B" w:rsidRDefault="000A4E8B" w:rsidP="000A4E8B">
            <w:pPr>
              <w:ind w:left="0" w:hanging="2"/>
              <w:jc w:val="both"/>
              <w:textDirection w:val="lrTb"/>
            </w:pPr>
            <w:r>
              <w:t>15. Exam</w:t>
            </w:r>
          </w:p>
          <w:p w14:paraId="5FF57FCD" w14:textId="77777777" w:rsidR="000A4E8B" w:rsidRDefault="000A4E8B" w:rsidP="000A4E8B">
            <w:pPr>
              <w:ind w:left="0" w:hanging="2"/>
              <w:jc w:val="both"/>
              <w:textDirection w:val="lrTb"/>
            </w:pPr>
          </w:p>
          <w:p w14:paraId="6834CFAF" w14:textId="77777777" w:rsidR="000A4E8B" w:rsidRDefault="000A4E8B" w:rsidP="000A4E8B">
            <w:pPr>
              <w:ind w:left="0" w:hanging="2"/>
              <w:jc w:val="both"/>
              <w:textDirection w:val="lrTb"/>
            </w:pPr>
            <w:r>
              <w:t>Each lecture is accompanied by seminars during which students present their presentations on a selected topic. These presentations are also the basis for their practical policy proposals</w:t>
            </w:r>
          </w:p>
          <w:p w14:paraId="4D106236" w14:textId="77777777" w:rsidR="000A4E8B" w:rsidRDefault="000A4E8B" w:rsidP="000A4E8B">
            <w:pPr>
              <w:ind w:left="0" w:hanging="2"/>
              <w:jc w:val="both"/>
              <w:textDirection w:val="lrTb"/>
            </w:pPr>
          </w:p>
        </w:tc>
      </w:tr>
      <w:tr w:rsidR="000A4E8B" w14:paraId="5B61F36D"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46B98D89" w14:textId="77777777" w:rsidR="000A4E8B" w:rsidRDefault="000A4E8B" w:rsidP="000A4E8B">
            <w:pPr>
              <w:ind w:left="0" w:hanging="2"/>
              <w:jc w:val="both"/>
              <w:textDirection w:val="lrTb"/>
            </w:pPr>
            <w:r>
              <w:rPr>
                <w:b/>
              </w:rPr>
              <w:t>Literature</w:t>
            </w:r>
          </w:p>
          <w:p w14:paraId="5777A6E5" w14:textId="77777777" w:rsidR="000A4E8B" w:rsidRDefault="000A4E8B" w:rsidP="000A4E8B">
            <w:pPr>
              <w:ind w:left="0" w:hanging="2"/>
              <w:jc w:val="both"/>
              <w:textDirection w:val="lrTb"/>
            </w:pPr>
            <w:r>
              <w:rPr>
                <w:color w:val="222222"/>
              </w:rPr>
              <w:t>Krahmann, Elke. "Conceptualizing security governance." </w:t>
            </w:r>
            <w:r>
              <w:rPr>
                <w:i/>
                <w:color w:val="222222"/>
              </w:rPr>
              <w:t>Cooperation and conflict</w:t>
            </w:r>
            <w:r>
              <w:rPr>
                <w:color w:val="222222"/>
              </w:rPr>
              <w:t xml:space="preserve"> 38.1 (2003): 5-26; </w:t>
            </w:r>
            <w:r>
              <w:rPr>
                <w:color w:val="222222"/>
                <w:highlight w:val="white"/>
              </w:rPr>
              <w:t>Daase, Christopher, and Cornelius Friesendorf, eds. </w:t>
            </w:r>
            <w:r>
              <w:rPr>
                <w:i/>
                <w:color w:val="222222"/>
                <w:highlight w:val="white"/>
              </w:rPr>
              <w:t>Rethinking security governance: the problem of unintended consequences</w:t>
            </w:r>
            <w:r>
              <w:rPr>
                <w:color w:val="222222"/>
                <w:highlight w:val="white"/>
              </w:rPr>
              <w:t xml:space="preserve">. London: Routledge, 2010; </w:t>
            </w:r>
            <w:r>
              <w:t xml:space="preserve">Engerer, Hella. 2011 “Security as a Public, Private or Club Good: Some Fundamental Considerations”. </w:t>
            </w:r>
            <w:r>
              <w:rPr>
                <w:i/>
              </w:rPr>
              <w:t>Defence and Peace Economics</w:t>
            </w:r>
            <w:r>
              <w:t xml:space="preserve">, 22 (2): 135-145. 2; Baldwin, David A. 1997. “The Concept of Security”. </w:t>
            </w:r>
            <w:r>
              <w:rPr>
                <w:i/>
              </w:rPr>
              <w:t>Review of International Studies</w:t>
            </w:r>
            <w:r>
              <w:t xml:space="preserve"> 23: 5-26; </w:t>
            </w:r>
            <w:r>
              <w:rPr>
                <w:color w:val="222222"/>
                <w:highlight w:val="white"/>
              </w:rPr>
              <w:t>Hänggi, Heiner. "Security sector reform–Concept and contexts." </w:t>
            </w:r>
            <w:r>
              <w:rPr>
                <w:i/>
                <w:color w:val="222222"/>
                <w:highlight w:val="white"/>
              </w:rPr>
              <w:t>Transformation: A Security Sector Reform Reader</w:t>
            </w:r>
            <w:r>
              <w:rPr>
                <w:color w:val="222222"/>
                <w:highlight w:val="white"/>
              </w:rPr>
              <w:t> (2012): 11-40; Ball, Nicole. "Reforming security sector governance." </w:t>
            </w:r>
            <w:r>
              <w:rPr>
                <w:i/>
                <w:color w:val="222222"/>
                <w:highlight w:val="white"/>
              </w:rPr>
              <w:t>Conflict, Security &amp; Development</w:t>
            </w:r>
            <w:r>
              <w:rPr>
                <w:color w:val="222222"/>
                <w:highlight w:val="white"/>
              </w:rPr>
              <w:t xml:space="preserve"> 4.3 (2004): 509-527; </w:t>
            </w:r>
            <w:r>
              <w:t xml:space="preserve">Ejdus, Filip. 2010. “Democratic Security Sector Governance in Serbia.” PRIF Reports No. 94. Frankfurt AM: Peace Research Institute Frankfurt; Mannitz, Sabine, ed. </w:t>
            </w:r>
            <w:r>
              <w:rPr>
                <w:i/>
              </w:rPr>
              <w:t>Democratic civil-military relations: soldiering in 21st-century Europe</w:t>
            </w:r>
            <w:r>
              <w:t xml:space="preserve">. Routledge, 2012; Huntington, Samuel P. </w:t>
            </w:r>
            <w:r>
              <w:rPr>
                <w:i/>
              </w:rPr>
              <w:t>The soldier and the state: The theory and politics of civil–military relations</w:t>
            </w:r>
            <w:r>
              <w:t>. Harvard University Press, 1981;</w:t>
            </w:r>
            <w:r>
              <w:rPr>
                <w:color w:val="222222"/>
                <w:highlight w:val="white"/>
              </w:rPr>
              <w:t xml:space="preserve"> Bryden, Alan. </w:t>
            </w:r>
            <w:r>
              <w:rPr>
                <w:i/>
                <w:color w:val="222222"/>
                <w:highlight w:val="white"/>
              </w:rPr>
              <w:t>Private actors and security governance</w:t>
            </w:r>
            <w:r>
              <w:rPr>
                <w:color w:val="222222"/>
                <w:highlight w:val="white"/>
              </w:rPr>
              <w:t>. LIT Verlag Münster, 2006; Born, Hans. </w:t>
            </w:r>
            <w:r>
              <w:rPr>
                <w:i/>
                <w:color w:val="222222"/>
                <w:highlight w:val="white"/>
              </w:rPr>
              <w:t>Who’s watching the spies: establishing intelligence service accountability</w:t>
            </w:r>
            <w:r>
              <w:rPr>
                <w:color w:val="222222"/>
                <w:highlight w:val="white"/>
              </w:rPr>
              <w:t>. Potomac Books, Inc., 2005; Kunz, Rahel. "Gender and security sector reform: Gendering differently?." </w:t>
            </w:r>
            <w:r>
              <w:rPr>
                <w:i/>
                <w:color w:val="222222"/>
                <w:highlight w:val="white"/>
              </w:rPr>
              <w:t>International Peacekeeping</w:t>
            </w:r>
            <w:r>
              <w:rPr>
                <w:color w:val="222222"/>
                <w:highlight w:val="white"/>
              </w:rPr>
              <w:t> 21.5 (2014): 604-622; Manning, Peter K. </w:t>
            </w:r>
            <w:r>
              <w:rPr>
                <w:i/>
                <w:color w:val="222222"/>
                <w:highlight w:val="white"/>
              </w:rPr>
              <w:t>Democratic policing in a changing world</w:t>
            </w:r>
            <w:r>
              <w:rPr>
                <w:color w:val="222222"/>
                <w:highlight w:val="white"/>
              </w:rPr>
              <w:t>. Routledge, 2015; Jackson, Paul. "Security sector reform and state building." </w:t>
            </w:r>
            <w:r>
              <w:rPr>
                <w:i/>
                <w:color w:val="222222"/>
                <w:highlight w:val="white"/>
              </w:rPr>
              <w:t>Third world quarterly</w:t>
            </w:r>
            <w:r>
              <w:rPr>
                <w:color w:val="222222"/>
                <w:highlight w:val="white"/>
              </w:rPr>
              <w:t xml:space="preserve"> 32.10 (2011): 1803-1822; </w:t>
            </w:r>
            <w:r>
              <w:t xml:space="preserve">Brzoska, Michael. </w:t>
            </w:r>
            <w:r>
              <w:rPr>
                <w:i/>
              </w:rPr>
              <w:t>Development donors and the concept of security sector reform</w:t>
            </w:r>
            <w:r>
              <w:t xml:space="preserve">. Geneva, Switzerland: Geneva Centre for the </w:t>
            </w:r>
            <w:r>
              <w:lastRenderedPageBreak/>
              <w:t xml:space="preserve">Democratic Control Armed Forces, 2003; Caparini, Marina. "Civil Society and the future of security sector reform." </w:t>
            </w:r>
            <w:r>
              <w:rPr>
                <w:i/>
              </w:rPr>
              <w:t>The future of security sector reform</w:t>
            </w:r>
            <w:r>
              <w:t xml:space="preserve"> (2010): 244; Caparini, Marina. "Media and the security sector: Oversight and accountability." </w:t>
            </w:r>
            <w:r>
              <w:rPr>
                <w:i/>
              </w:rPr>
              <w:t>Geneva Centre for the Democratic Control of Armed Forces (DCAF) Publication</w:t>
            </w:r>
            <w:r>
              <w:t xml:space="preserve"> (2004): 1-49.</w:t>
            </w:r>
          </w:p>
          <w:p w14:paraId="244A8F23" w14:textId="77777777" w:rsidR="000A4E8B" w:rsidRDefault="000A4E8B" w:rsidP="000A4E8B">
            <w:pPr>
              <w:ind w:leftChars="0" w:left="0" w:firstLineChars="0" w:firstLine="0"/>
              <w:jc w:val="both"/>
              <w:textDirection w:val="lrTb"/>
            </w:pPr>
          </w:p>
        </w:tc>
      </w:tr>
      <w:tr w:rsidR="000A4E8B" w14:paraId="6076FACF" w14:textId="77777777" w:rsidTr="000A4E8B">
        <w:trPr>
          <w:trHeight w:val="426"/>
        </w:trPr>
        <w:tc>
          <w:tcPr>
            <w:tcW w:w="3794" w:type="dxa"/>
            <w:gridSpan w:val="2"/>
            <w:tcBorders>
              <w:top w:val="single" w:sz="4" w:space="0" w:color="000000"/>
              <w:left w:val="single" w:sz="4" w:space="0" w:color="000000"/>
              <w:bottom w:val="single" w:sz="4" w:space="0" w:color="000000"/>
              <w:right w:val="single" w:sz="4" w:space="0" w:color="000000"/>
            </w:tcBorders>
            <w:vAlign w:val="center"/>
          </w:tcPr>
          <w:p w14:paraId="57C481E6" w14:textId="77777777" w:rsidR="000A4E8B" w:rsidRDefault="000A4E8B" w:rsidP="000A4E8B">
            <w:pPr>
              <w:ind w:left="0" w:hanging="2"/>
              <w:jc w:val="center"/>
              <w:textDirection w:val="lrTb"/>
            </w:pPr>
            <w:r>
              <w:rPr>
                <w:b/>
              </w:rPr>
              <w:lastRenderedPageBreak/>
              <w:t>Total classes of active teaching: 60</w:t>
            </w:r>
          </w:p>
        </w:tc>
        <w:tc>
          <w:tcPr>
            <w:tcW w:w="3118" w:type="dxa"/>
            <w:gridSpan w:val="2"/>
            <w:tcBorders>
              <w:top w:val="single" w:sz="4" w:space="0" w:color="000000"/>
              <w:left w:val="single" w:sz="4" w:space="0" w:color="000000"/>
              <w:bottom w:val="single" w:sz="4" w:space="0" w:color="000000"/>
              <w:right w:val="single" w:sz="4" w:space="0" w:color="000000"/>
            </w:tcBorders>
            <w:vAlign w:val="center"/>
          </w:tcPr>
          <w:p w14:paraId="28B84493" w14:textId="77777777" w:rsidR="000A4E8B" w:rsidRDefault="000A4E8B" w:rsidP="000A4E8B">
            <w:pPr>
              <w:ind w:left="0" w:hanging="2"/>
              <w:jc w:val="center"/>
              <w:textDirection w:val="lrTb"/>
            </w:pPr>
            <w:r>
              <w:rPr>
                <w:b/>
              </w:rPr>
              <w:t>Theoretical classes: 30</w:t>
            </w:r>
          </w:p>
        </w:tc>
        <w:tc>
          <w:tcPr>
            <w:tcW w:w="3005" w:type="dxa"/>
            <w:gridSpan w:val="2"/>
            <w:tcBorders>
              <w:top w:val="single" w:sz="4" w:space="0" w:color="000000"/>
              <w:left w:val="single" w:sz="4" w:space="0" w:color="000000"/>
              <w:bottom w:val="single" w:sz="4" w:space="0" w:color="000000"/>
              <w:right w:val="single" w:sz="4" w:space="0" w:color="000000"/>
            </w:tcBorders>
            <w:vAlign w:val="center"/>
          </w:tcPr>
          <w:p w14:paraId="402B8415" w14:textId="77777777" w:rsidR="000A4E8B" w:rsidRDefault="000A4E8B" w:rsidP="000A4E8B">
            <w:pPr>
              <w:ind w:left="0" w:hanging="2"/>
              <w:jc w:val="center"/>
              <w:textDirection w:val="lrTb"/>
            </w:pPr>
            <w:r>
              <w:rPr>
                <w:b/>
              </w:rPr>
              <w:t>Practical classes: 30</w:t>
            </w:r>
          </w:p>
        </w:tc>
      </w:tr>
      <w:tr w:rsidR="000A4E8B" w14:paraId="31F8CDD4" w14:textId="77777777" w:rsidTr="000A4E8B">
        <w:trPr>
          <w:trHeight w:val="599"/>
        </w:trPr>
        <w:tc>
          <w:tcPr>
            <w:tcW w:w="9917" w:type="dxa"/>
            <w:gridSpan w:val="6"/>
            <w:tcBorders>
              <w:top w:val="single" w:sz="4" w:space="0" w:color="000000"/>
              <w:left w:val="single" w:sz="4" w:space="0" w:color="000000"/>
              <w:bottom w:val="single" w:sz="4" w:space="0" w:color="000000"/>
              <w:right w:val="single" w:sz="4" w:space="0" w:color="000000"/>
            </w:tcBorders>
          </w:tcPr>
          <w:p w14:paraId="4F80C797" w14:textId="77777777" w:rsidR="000A4E8B" w:rsidRDefault="000A4E8B" w:rsidP="000A4E8B">
            <w:pPr>
              <w:ind w:left="0" w:hanging="2"/>
              <w:jc w:val="both"/>
              <w:textDirection w:val="lrTb"/>
            </w:pPr>
            <w:r>
              <w:rPr>
                <w:b/>
              </w:rPr>
              <w:t xml:space="preserve">Teaching methods: </w:t>
            </w:r>
          </w:p>
          <w:p w14:paraId="35D470D1" w14:textId="008DE9B5" w:rsidR="000A4E8B" w:rsidRDefault="000A4E8B" w:rsidP="002E7647">
            <w:pPr>
              <w:tabs>
                <w:tab w:val="left" w:pos="567"/>
              </w:tabs>
              <w:spacing w:after="60"/>
              <w:ind w:left="0" w:hanging="2"/>
              <w:textDirection w:val="lrTb"/>
            </w:pPr>
            <w:r>
              <w:t>Lectures, seminars</w:t>
            </w:r>
          </w:p>
        </w:tc>
      </w:tr>
      <w:tr w:rsidR="000A4E8B" w14:paraId="788BDE19" w14:textId="77777777" w:rsidTr="000A4E8B">
        <w:tc>
          <w:tcPr>
            <w:tcW w:w="9917" w:type="dxa"/>
            <w:gridSpan w:val="6"/>
            <w:tcBorders>
              <w:top w:val="single" w:sz="4" w:space="0" w:color="000000"/>
              <w:left w:val="single" w:sz="4" w:space="0" w:color="000000"/>
              <w:bottom w:val="single" w:sz="4" w:space="0" w:color="000000"/>
              <w:right w:val="single" w:sz="4" w:space="0" w:color="000000"/>
            </w:tcBorders>
          </w:tcPr>
          <w:p w14:paraId="30FD17EE" w14:textId="77777777" w:rsidR="000A4E8B" w:rsidRDefault="000A4E8B" w:rsidP="000A4E8B">
            <w:pPr>
              <w:ind w:left="0" w:hanging="2"/>
              <w:jc w:val="center"/>
              <w:textDirection w:val="lrTb"/>
            </w:pPr>
            <w:r>
              <w:rPr>
                <w:b/>
              </w:rPr>
              <w:t>Assessment of knowledge (maximum no. of points 100)</w:t>
            </w:r>
          </w:p>
        </w:tc>
      </w:tr>
      <w:tr w:rsidR="000A4E8B" w14:paraId="02666D03" w14:textId="77777777" w:rsidTr="000A4E8B">
        <w:tc>
          <w:tcPr>
            <w:tcW w:w="3671" w:type="dxa"/>
            <w:tcBorders>
              <w:top w:val="single" w:sz="4" w:space="0" w:color="000000"/>
              <w:left w:val="single" w:sz="4" w:space="0" w:color="000000"/>
              <w:bottom w:val="single" w:sz="4" w:space="0" w:color="000000"/>
              <w:right w:val="single" w:sz="4" w:space="0" w:color="000000"/>
            </w:tcBorders>
          </w:tcPr>
          <w:p w14:paraId="28D460B7" w14:textId="77777777" w:rsidR="000A4E8B" w:rsidRDefault="000A4E8B" w:rsidP="000A4E8B">
            <w:pPr>
              <w:ind w:left="0" w:hanging="2"/>
              <w:textDirection w:val="lrTb"/>
            </w:pPr>
            <w:r>
              <w:rPr>
                <w:b/>
              </w:rPr>
              <w:t>Pre-examination commitments</w:t>
            </w:r>
          </w:p>
        </w:tc>
        <w:tc>
          <w:tcPr>
            <w:tcW w:w="1785" w:type="dxa"/>
            <w:gridSpan w:val="2"/>
            <w:tcBorders>
              <w:top w:val="single" w:sz="4" w:space="0" w:color="000000"/>
              <w:left w:val="single" w:sz="4" w:space="0" w:color="000000"/>
              <w:bottom w:val="single" w:sz="4" w:space="0" w:color="000000"/>
              <w:right w:val="single" w:sz="4" w:space="0" w:color="000000"/>
            </w:tcBorders>
          </w:tcPr>
          <w:p w14:paraId="768F1B3A" w14:textId="77777777" w:rsidR="000A4E8B" w:rsidRDefault="000A4E8B" w:rsidP="000A4E8B">
            <w:pPr>
              <w:ind w:left="0" w:hanging="2"/>
              <w:textDirection w:val="lrTb"/>
            </w:pPr>
            <w:r>
              <w:rPr>
                <w:b/>
              </w:rPr>
              <w:t>points</w:t>
            </w:r>
          </w:p>
        </w:tc>
        <w:tc>
          <w:tcPr>
            <w:tcW w:w="3065" w:type="dxa"/>
            <w:gridSpan w:val="2"/>
            <w:tcBorders>
              <w:top w:val="single" w:sz="4" w:space="0" w:color="000000"/>
              <w:left w:val="single" w:sz="4" w:space="0" w:color="000000"/>
              <w:bottom w:val="single" w:sz="4" w:space="0" w:color="000000"/>
              <w:right w:val="single" w:sz="4" w:space="0" w:color="000000"/>
            </w:tcBorders>
          </w:tcPr>
          <w:p w14:paraId="6B147C99" w14:textId="77777777" w:rsidR="000A4E8B" w:rsidRDefault="000A4E8B" w:rsidP="000A4E8B">
            <w:pPr>
              <w:ind w:left="0" w:hanging="2"/>
              <w:textDirection w:val="lrTb"/>
            </w:pPr>
            <w:r>
              <w:t xml:space="preserve">Final examination </w:t>
            </w:r>
          </w:p>
        </w:tc>
        <w:tc>
          <w:tcPr>
            <w:tcW w:w="1396" w:type="dxa"/>
            <w:tcBorders>
              <w:top w:val="single" w:sz="4" w:space="0" w:color="000000"/>
              <w:left w:val="single" w:sz="4" w:space="0" w:color="000000"/>
              <w:bottom w:val="single" w:sz="4" w:space="0" w:color="000000"/>
              <w:right w:val="single" w:sz="4" w:space="0" w:color="000000"/>
            </w:tcBorders>
          </w:tcPr>
          <w:p w14:paraId="0BFCF598" w14:textId="77777777" w:rsidR="000A4E8B" w:rsidRDefault="000A4E8B" w:rsidP="000A4E8B">
            <w:pPr>
              <w:ind w:left="0" w:hanging="2"/>
              <w:textDirection w:val="lrTb"/>
            </w:pPr>
            <w:r>
              <w:rPr>
                <w:i/>
              </w:rPr>
              <w:t>points</w:t>
            </w:r>
          </w:p>
        </w:tc>
      </w:tr>
      <w:tr w:rsidR="000A4E8B" w14:paraId="6E34F390" w14:textId="77777777" w:rsidTr="000A4E8B">
        <w:tc>
          <w:tcPr>
            <w:tcW w:w="3671" w:type="dxa"/>
            <w:tcBorders>
              <w:top w:val="single" w:sz="4" w:space="0" w:color="000000"/>
              <w:left w:val="single" w:sz="4" w:space="0" w:color="000000"/>
              <w:bottom w:val="single" w:sz="4" w:space="0" w:color="000000"/>
              <w:right w:val="single" w:sz="4" w:space="0" w:color="000000"/>
            </w:tcBorders>
          </w:tcPr>
          <w:p w14:paraId="2E70C6AF" w14:textId="77777777" w:rsidR="000A4E8B" w:rsidRDefault="000A4E8B" w:rsidP="000A4E8B">
            <w:pPr>
              <w:ind w:left="0" w:hanging="2"/>
              <w:textDirection w:val="lrTb"/>
            </w:pPr>
            <w:r>
              <w:t>activity</w:t>
            </w:r>
          </w:p>
        </w:tc>
        <w:tc>
          <w:tcPr>
            <w:tcW w:w="1785" w:type="dxa"/>
            <w:gridSpan w:val="2"/>
            <w:tcBorders>
              <w:top w:val="single" w:sz="4" w:space="0" w:color="000000"/>
              <w:left w:val="single" w:sz="4" w:space="0" w:color="000000"/>
              <w:bottom w:val="single" w:sz="4" w:space="0" w:color="000000"/>
              <w:right w:val="single" w:sz="4" w:space="0" w:color="000000"/>
            </w:tcBorders>
          </w:tcPr>
          <w:p w14:paraId="37830311" w14:textId="77777777" w:rsidR="000A4E8B" w:rsidRDefault="000A4E8B" w:rsidP="000A4E8B">
            <w:pPr>
              <w:tabs>
                <w:tab w:val="left" w:pos="1200"/>
              </w:tabs>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38196557" w14:textId="77777777" w:rsidR="000A4E8B" w:rsidRDefault="000A4E8B" w:rsidP="000A4E8B">
            <w:pPr>
              <w:ind w:left="0" w:hanging="2"/>
              <w:textDirection w:val="lrTb"/>
            </w:pPr>
            <w:r>
              <w:t>written test</w:t>
            </w:r>
          </w:p>
        </w:tc>
        <w:tc>
          <w:tcPr>
            <w:tcW w:w="1396" w:type="dxa"/>
            <w:tcBorders>
              <w:top w:val="single" w:sz="4" w:space="0" w:color="000000"/>
              <w:left w:val="single" w:sz="4" w:space="0" w:color="000000"/>
              <w:bottom w:val="single" w:sz="4" w:space="0" w:color="000000"/>
              <w:right w:val="single" w:sz="4" w:space="0" w:color="000000"/>
            </w:tcBorders>
          </w:tcPr>
          <w:p w14:paraId="41517CFE" w14:textId="77777777" w:rsidR="000A4E8B" w:rsidRDefault="000A4E8B" w:rsidP="000A4E8B">
            <w:pPr>
              <w:ind w:left="0" w:hanging="2"/>
              <w:textDirection w:val="lrTb"/>
            </w:pPr>
            <w:r>
              <w:rPr>
                <w:b/>
              </w:rPr>
              <w:t>30</w:t>
            </w:r>
          </w:p>
        </w:tc>
      </w:tr>
      <w:tr w:rsidR="000A4E8B" w14:paraId="51FB5C2E" w14:textId="77777777" w:rsidTr="000A4E8B">
        <w:tc>
          <w:tcPr>
            <w:tcW w:w="3671" w:type="dxa"/>
            <w:tcBorders>
              <w:top w:val="single" w:sz="4" w:space="0" w:color="000000"/>
              <w:left w:val="single" w:sz="4" w:space="0" w:color="000000"/>
              <w:bottom w:val="single" w:sz="4" w:space="0" w:color="000000"/>
              <w:right w:val="single" w:sz="4" w:space="0" w:color="000000"/>
            </w:tcBorders>
          </w:tcPr>
          <w:p w14:paraId="0070CC9C" w14:textId="77777777" w:rsidR="000A4E8B" w:rsidRDefault="000A4E8B" w:rsidP="000A4E8B">
            <w:pPr>
              <w:ind w:left="0" w:hanging="2"/>
              <w:textDirection w:val="lrTb"/>
            </w:pPr>
            <w:r>
              <w:t>practical teaching</w:t>
            </w:r>
          </w:p>
        </w:tc>
        <w:tc>
          <w:tcPr>
            <w:tcW w:w="1785" w:type="dxa"/>
            <w:gridSpan w:val="2"/>
            <w:tcBorders>
              <w:top w:val="single" w:sz="4" w:space="0" w:color="000000"/>
              <w:left w:val="single" w:sz="4" w:space="0" w:color="000000"/>
              <w:bottom w:val="single" w:sz="4" w:space="0" w:color="000000"/>
              <w:right w:val="single" w:sz="4" w:space="0" w:color="000000"/>
            </w:tcBorders>
          </w:tcPr>
          <w:p w14:paraId="0266225D" w14:textId="77777777" w:rsidR="000A4E8B" w:rsidRDefault="000A4E8B" w:rsidP="000A4E8B">
            <w:pPr>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23410B47" w14:textId="77777777" w:rsidR="000A4E8B" w:rsidRDefault="000A4E8B" w:rsidP="000A4E8B">
            <w:pPr>
              <w:ind w:left="0" w:hanging="2"/>
              <w:textDirection w:val="lrTb"/>
            </w:pPr>
            <w:r>
              <w:t>oral examination</w:t>
            </w:r>
          </w:p>
        </w:tc>
        <w:tc>
          <w:tcPr>
            <w:tcW w:w="1396" w:type="dxa"/>
            <w:tcBorders>
              <w:top w:val="single" w:sz="4" w:space="0" w:color="000000"/>
              <w:left w:val="single" w:sz="4" w:space="0" w:color="000000"/>
              <w:bottom w:val="single" w:sz="4" w:space="0" w:color="000000"/>
              <w:right w:val="single" w:sz="4" w:space="0" w:color="000000"/>
            </w:tcBorders>
          </w:tcPr>
          <w:p w14:paraId="115A5854" w14:textId="77777777" w:rsidR="000A4E8B" w:rsidRDefault="000A4E8B" w:rsidP="000A4E8B">
            <w:pPr>
              <w:ind w:left="0" w:hanging="2"/>
              <w:textDirection w:val="lrTb"/>
            </w:pPr>
          </w:p>
        </w:tc>
      </w:tr>
      <w:tr w:rsidR="000A4E8B" w14:paraId="360BA4B9" w14:textId="77777777" w:rsidTr="000A4E8B">
        <w:tc>
          <w:tcPr>
            <w:tcW w:w="3671" w:type="dxa"/>
            <w:tcBorders>
              <w:top w:val="single" w:sz="4" w:space="0" w:color="000000"/>
              <w:left w:val="single" w:sz="4" w:space="0" w:color="000000"/>
              <w:bottom w:val="single" w:sz="4" w:space="0" w:color="000000"/>
              <w:right w:val="single" w:sz="4" w:space="0" w:color="000000"/>
            </w:tcBorders>
          </w:tcPr>
          <w:p w14:paraId="330C21BF" w14:textId="77777777" w:rsidR="000A4E8B" w:rsidRDefault="000A4E8B" w:rsidP="000A4E8B">
            <w:pPr>
              <w:ind w:left="0" w:hanging="2"/>
              <w:textDirection w:val="lrTb"/>
            </w:pPr>
            <w:r>
              <w:t>colloquium(a)</w:t>
            </w:r>
          </w:p>
        </w:tc>
        <w:tc>
          <w:tcPr>
            <w:tcW w:w="1785" w:type="dxa"/>
            <w:gridSpan w:val="2"/>
            <w:tcBorders>
              <w:top w:val="single" w:sz="4" w:space="0" w:color="000000"/>
              <w:left w:val="single" w:sz="4" w:space="0" w:color="000000"/>
              <w:bottom w:val="single" w:sz="4" w:space="0" w:color="000000"/>
              <w:right w:val="single" w:sz="4" w:space="0" w:color="000000"/>
            </w:tcBorders>
          </w:tcPr>
          <w:p w14:paraId="7377740D" w14:textId="77777777" w:rsidR="000A4E8B" w:rsidRDefault="000A4E8B" w:rsidP="000A4E8B">
            <w:pPr>
              <w:ind w:left="0" w:hanging="2"/>
              <w:textDirection w:val="lrTb"/>
            </w:pPr>
          </w:p>
        </w:tc>
        <w:tc>
          <w:tcPr>
            <w:tcW w:w="3065" w:type="dxa"/>
            <w:gridSpan w:val="2"/>
            <w:tcBorders>
              <w:top w:val="single" w:sz="4" w:space="0" w:color="000000"/>
              <w:left w:val="single" w:sz="4" w:space="0" w:color="000000"/>
              <w:bottom w:val="single" w:sz="4" w:space="0" w:color="000000"/>
              <w:right w:val="single" w:sz="4" w:space="0" w:color="000000"/>
            </w:tcBorders>
          </w:tcPr>
          <w:p w14:paraId="48AC047E" w14:textId="77777777" w:rsidR="000A4E8B" w:rsidRDefault="000A4E8B" w:rsidP="000A4E8B">
            <w:pPr>
              <w:ind w:left="0" w:hanging="2"/>
              <w:textDirection w:val="lrTb"/>
            </w:pPr>
            <w:r>
              <w:t>Policy paper</w:t>
            </w:r>
          </w:p>
        </w:tc>
        <w:tc>
          <w:tcPr>
            <w:tcW w:w="1396" w:type="dxa"/>
            <w:tcBorders>
              <w:top w:val="single" w:sz="4" w:space="0" w:color="000000"/>
              <w:left w:val="single" w:sz="4" w:space="0" w:color="000000"/>
              <w:bottom w:val="single" w:sz="4" w:space="0" w:color="000000"/>
              <w:right w:val="single" w:sz="4" w:space="0" w:color="000000"/>
            </w:tcBorders>
          </w:tcPr>
          <w:p w14:paraId="0A3533AA" w14:textId="77777777" w:rsidR="000A4E8B" w:rsidRDefault="000A4E8B" w:rsidP="000A4E8B">
            <w:pPr>
              <w:ind w:left="0" w:hanging="2"/>
              <w:textDirection w:val="lrTb"/>
            </w:pPr>
            <w:r>
              <w:rPr>
                <w:b/>
              </w:rPr>
              <w:t>50</w:t>
            </w:r>
          </w:p>
        </w:tc>
      </w:tr>
      <w:tr w:rsidR="000A4E8B" w14:paraId="0D329AB4" w14:textId="77777777" w:rsidTr="000A4E8B">
        <w:tc>
          <w:tcPr>
            <w:tcW w:w="3671" w:type="dxa"/>
            <w:tcBorders>
              <w:top w:val="single" w:sz="4" w:space="0" w:color="000000"/>
              <w:left w:val="single" w:sz="4" w:space="0" w:color="000000"/>
              <w:bottom w:val="single" w:sz="4" w:space="0" w:color="000000"/>
              <w:right w:val="single" w:sz="4" w:space="0" w:color="000000"/>
            </w:tcBorders>
          </w:tcPr>
          <w:p w14:paraId="77BB2E3C" w14:textId="77777777" w:rsidR="000A4E8B" w:rsidRDefault="000A4E8B" w:rsidP="000A4E8B">
            <w:pPr>
              <w:ind w:left="0" w:hanging="2"/>
              <w:textDirection w:val="lrTb"/>
            </w:pPr>
            <w:r>
              <w:t>seminar(s)</w:t>
            </w:r>
          </w:p>
        </w:tc>
        <w:tc>
          <w:tcPr>
            <w:tcW w:w="1785" w:type="dxa"/>
            <w:gridSpan w:val="2"/>
            <w:tcBorders>
              <w:top w:val="single" w:sz="4" w:space="0" w:color="000000"/>
              <w:left w:val="single" w:sz="4" w:space="0" w:color="000000"/>
              <w:bottom w:val="single" w:sz="4" w:space="0" w:color="000000"/>
              <w:right w:val="single" w:sz="4" w:space="0" w:color="000000"/>
            </w:tcBorders>
          </w:tcPr>
          <w:p w14:paraId="62E9BC9D" w14:textId="77777777" w:rsidR="000A4E8B" w:rsidRDefault="000A4E8B" w:rsidP="000A4E8B">
            <w:pPr>
              <w:ind w:left="0" w:hanging="2"/>
              <w:textDirection w:val="lrTb"/>
            </w:pPr>
            <w:r>
              <w:rPr>
                <w:b/>
              </w:rPr>
              <w:t>20</w:t>
            </w:r>
          </w:p>
        </w:tc>
        <w:tc>
          <w:tcPr>
            <w:tcW w:w="3065" w:type="dxa"/>
            <w:gridSpan w:val="2"/>
            <w:tcBorders>
              <w:top w:val="single" w:sz="4" w:space="0" w:color="000000"/>
              <w:left w:val="single" w:sz="4" w:space="0" w:color="000000"/>
              <w:bottom w:val="single" w:sz="4" w:space="0" w:color="000000"/>
              <w:right w:val="single" w:sz="4" w:space="0" w:color="000000"/>
            </w:tcBorders>
          </w:tcPr>
          <w:p w14:paraId="3BF5C6F3" w14:textId="77777777" w:rsidR="000A4E8B" w:rsidRDefault="000A4E8B" w:rsidP="000A4E8B">
            <w:pPr>
              <w:ind w:left="0" w:hanging="2"/>
              <w:textDirection w:val="lrTb"/>
            </w:pPr>
          </w:p>
        </w:tc>
        <w:tc>
          <w:tcPr>
            <w:tcW w:w="1396" w:type="dxa"/>
            <w:tcBorders>
              <w:top w:val="single" w:sz="4" w:space="0" w:color="000000"/>
              <w:left w:val="single" w:sz="4" w:space="0" w:color="000000"/>
              <w:bottom w:val="single" w:sz="4" w:space="0" w:color="000000"/>
              <w:right w:val="single" w:sz="4" w:space="0" w:color="000000"/>
            </w:tcBorders>
          </w:tcPr>
          <w:p w14:paraId="5EDE320A" w14:textId="77777777" w:rsidR="000A4E8B" w:rsidRDefault="000A4E8B" w:rsidP="000A4E8B">
            <w:pPr>
              <w:ind w:left="0" w:hanging="2"/>
              <w:textDirection w:val="lrTb"/>
            </w:pPr>
          </w:p>
        </w:tc>
      </w:tr>
    </w:tbl>
    <w:p w14:paraId="414B5CB9" w14:textId="77777777" w:rsidR="00B40C5A" w:rsidRDefault="00B40C5A">
      <w:pPr>
        <w:pBdr>
          <w:top w:val="nil"/>
          <w:left w:val="nil"/>
          <w:bottom w:val="nil"/>
          <w:right w:val="nil"/>
          <w:between w:val="nil"/>
        </w:pBdr>
        <w:spacing w:line="276" w:lineRule="auto"/>
        <w:ind w:left="0" w:hanging="2"/>
        <w:rPr>
          <w:rFonts w:ascii="Arial" w:eastAsia="Arial" w:hAnsi="Arial" w:cs="Arial"/>
          <w:color w:val="000000"/>
          <w:sz w:val="22"/>
          <w:szCs w:val="22"/>
        </w:rPr>
      </w:pPr>
    </w:p>
    <w:p w14:paraId="48DD5EC0" w14:textId="77777777" w:rsidR="00B40C5A" w:rsidRDefault="00B40C5A">
      <w:pPr>
        <w:ind w:left="0" w:hanging="2"/>
      </w:pPr>
    </w:p>
    <w:p w14:paraId="6F88CFB4" w14:textId="77777777" w:rsidR="00B40C5A" w:rsidRDefault="00B40C5A">
      <w:pPr>
        <w:ind w:left="0" w:hanging="2"/>
      </w:pPr>
    </w:p>
    <w:sectPr w:rsidR="00B40C5A">
      <w:pgSz w:w="11906" w:h="16838"/>
      <w:pgMar w:top="1417" w:right="1418" w:bottom="141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C5A"/>
    <w:rsid w:val="000A4E8B"/>
    <w:rsid w:val="00183203"/>
    <w:rsid w:val="002E7647"/>
    <w:rsid w:val="007F3C96"/>
    <w:rsid w:val="00856A21"/>
    <w:rsid w:val="00B16D8B"/>
    <w:rsid w:val="00B40C5A"/>
    <w:rsid w:val="00F80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7E302BF"/>
  <w15:docId w15:val="{A949DC60-1073-9A48-ADA0-A7A0C4A03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E w:val="0"/>
      <w:autoSpaceDN w:val="0"/>
      <w:adjustRightInd w:val="0"/>
      <w:spacing w:line="1" w:lineRule="atLeast"/>
      <w:ind w:leftChars="-1" w:left="-1" w:hangingChars="1" w:hanging="1"/>
      <w:textDirection w:val="btLr"/>
      <w:textAlignment w:val="top"/>
      <w:outlineLvl w:val="0"/>
    </w:pPr>
    <w:rPr>
      <w:position w:val="-1"/>
      <w:lang w:val="sr-Latn" w:eastAsia="sr-Latn"/>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noteText">
    <w:name w:val="footnote text"/>
    <w:basedOn w:val="Normal"/>
    <w:pPr>
      <w:widowControl/>
      <w:autoSpaceDE/>
      <w:autoSpaceDN/>
      <w:adjustRightInd/>
      <w:jc w:val="both"/>
    </w:pPr>
    <w:rPr>
      <w:lang w:val="de-DE" w:eastAsia="en-US"/>
    </w:rPr>
  </w:style>
  <w:style w:type="character" w:customStyle="1" w:styleId="FootnoteTextChar">
    <w:name w:val="Footnote Text Char"/>
    <w:rPr>
      <w:w w:val="100"/>
      <w:position w:val="-1"/>
      <w:effect w:val="none"/>
      <w:vertAlign w:val="baseline"/>
      <w:cs w:val="0"/>
      <w:em w:val="none"/>
      <w:lang w:val="de-DE"/>
    </w:rPr>
  </w:style>
  <w:style w:type="character" w:customStyle="1" w:styleId="sredinanaslov11">
    <w:name w:val="sredinanaslov11"/>
    <w:rPr>
      <w:rFonts w:ascii="Times New Roman" w:hAnsi="Times New Roman"/>
      <w:w w:val="100"/>
      <w:position w:val="-1"/>
      <w:sz w:val="20"/>
      <w:effect w:val="none"/>
      <w:vertAlign w:val="baseline"/>
      <w:cs w:val="0"/>
      <w:em w:val="none"/>
    </w:rPr>
  </w:style>
  <w:style w:type="paragraph" w:styleId="BodyText">
    <w:name w:val="Body Text"/>
    <w:basedOn w:val="Normal"/>
    <w:pPr>
      <w:widowControl/>
      <w:autoSpaceDE/>
      <w:autoSpaceDN/>
      <w:adjustRightInd/>
    </w:pPr>
    <w:rPr>
      <w:sz w:val="24"/>
      <w:lang w:val="en-GB" w:eastAsia="en-US"/>
    </w:rPr>
  </w:style>
  <w:style w:type="character" w:customStyle="1" w:styleId="BodyTextChar">
    <w:name w:val="Body Text Char"/>
    <w:rPr>
      <w:w w:val="100"/>
      <w:position w:val="-1"/>
      <w:sz w:val="24"/>
      <w:effect w:val="none"/>
      <w:vertAlign w:val="baseline"/>
      <w:cs w:val="0"/>
      <w:em w:val="none"/>
      <w:lang w:val="en-GB"/>
    </w:rPr>
  </w:style>
  <w:style w:type="character" w:styleId="Strong">
    <w:name w:val="Strong"/>
    <w:rPr>
      <w:b/>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Cws5JkAbKNVmtXsHzz4BAHD0XA==">AMUW2mV5cJrcBjpoqlWcrCenHnJ0C7El6BCW2E6nfOCaxSNq1jtqneG9W9bx8YcQqlMUcO0vMrHZ7XuU3QDAAvZ/e/UZEyRpmeWn0XhkOMxWpZu1whGQsDs=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715</Words>
  <Characters>4079</Characters>
  <Application>Microsoft Office Word</Application>
  <DocSecurity>0</DocSecurity>
  <Lines>33</Lines>
  <Paragraphs>9</Paragraphs>
  <ScaleCrop>false</ScaleCrop>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Pentium4</dc:creator>
  <cp:lastModifiedBy>Nemanja Dzuverovic</cp:lastModifiedBy>
  <cp:revision>8</cp:revision>
  <dcterms:created xsi:type="dcterms:W3CDTF">2021-04-26T10:47:00Z</dcterms:created>
  <dcterms:modified xsi:type="dcterms:W3CDTF">2021-06-13T16:34:00Z</dcterms:modified>
</cp:coreProperties>
</file>